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B4" w:rsidRPr="00950CD3" w:rsidRDefault="00F10BAF" w:rsidP="00F10BAF">
      <w:pPr>
        <w:pStyle w:val="Intgralebase"/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31" w:color="auto"/>
        </w:pBdr>
        <w:ind w:left="1701" w:right="1701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950CD3">
        <w:rPr>
          <w:rFonts w:ascii="Calibri" w:hAnsi="Calibri" w:cs="Calibri"/>
          <w:b/>
          <w:sz w:val="22"/>
          <w:szCs w:val="22"/>
        </w:rPr>
        <w:t>AGENDA SOCIAL MINISTERIEL</w:t>
      </w:r>
    </w:p>
    <w:p w:rsidR="00F10BAF" w:rsidRPr="00950CD3" w:rsidRDefault="00613940" w:rsidP="00F10BAF">
      <w:pPr>
        <w:pStyle w:val="Intgralebase"/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31" w:color="auto"/>
        </w:pBdr>
        <w:ind w:left="1701" w:right="1701"/>
        <w:jc w:val="center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Compte-rendu synthétique du </w:t>
      </w:r>
      <w:r w:rsidR="005F22B4" w:rsidRPr="00950CD3">
        <w:rPr>
          <w:rFonts w:ascii="Calibri" w:hAnsi="Calibri" w:cs="Calibri"/>
          <w:b/>
          <w:sz w:val="22"/>
          <w:szCs w:val="22"/>
        </w:rPr>
        <w:t>Groupe de travail 10</w:t>
      </w:r>
    </w:p>
    <w:p w:rsidR="00F10BAF" w:rsidRPr="00950CD3" w:rsidRDefault="00F10BAF" w:rsidP="00613940">
      <w:pPr>
        <w:pStyle w:val="Intgralebase"/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31" w:color="auto"/>
        </w:pBdr>
        <w:ind w:left="1701" w:right="1701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950CD3">
        <w:rPr>
          <w:rFonts w:ascii="Calibri" w:hAnsi="Calibri" w:cs="Calibri"/>
          <w:b/>
          <w:sz w:val="22"/>
          <w:szCs w:val="22"/>
        </w:rPr>
        <w:t>Développement</w:t>
      </w:r>
      <w:r w:rsidR="00613940">
        <w:rPr>
          <w:rFonts w:ascii="Calibri" w:hAnsi="Calibri" w:cs="Calibri"/>
          <w:b/>
          <w:sz w:val="22"/>
          <w:szCs w:val="22"/>
        </w:rPr>
        <w:t xml:space="preserve"> de la QVT r</w:t>
      </w:r>
      <w:r w:rsidR="003E7EE5" w:rsidRPr="00950CD3">
        <w:rPr>
          <w:rFonts w:ascii="Calibri" w:hAnsi="Calibri" w:cs="Calibri"/>
          <w:b/>
          <w:sz w:val="22"/>
          <w:szCs w:val="22"/>
        </w:rPr>
        <w:t>éunion du 19 novembre 2020</w:t>
      </w:r>
    </w:p>
    <w:p w:rsidR="00D474E7" w:rsidRDefault="00D474E7" w:rsidP="00613940">
      <w:pPr>
        <w:pStyle w:val="Intgralebase"/>
        <w:spacing w:line="24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613940" w:rsidRPr="00613940" w:rsidRDefault="00613940" w:rsidP="00613940">
      <w:pPr>
        <w:pStyle w:val="Intgralebase"/>
        <w:spacing w:line="24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613940">
        <w:rPr>
          <w:rFonts w:ascii="Calibri" w:hAnsi="Calibri" w:cs="Calibri"/>
          <w:b/>
          <w:sz w:val="22"/>
          <w:szCs w:val="22"/>
          <w:u w:val="single"/>
        </w:rPr>
        <w:t>Participants</w:t>
      </w:r>
    </w:p>
    <w:p w:rsidR="00613940" w:rsidRDefault="00613940" w:rsidP="00613940">
      <w:pPr>
        <w:pStyle w:val="Intgralebase"/>
        <w:jc w:val="both"/>
        <w:rPr>
          <w:rFonts w:ascii="Calibri" w:hAnsi="Calibri" w:cs="Calibri"/>
          <w:sz w:val="22"/>
          <w:szCs w:val="22"/>
        </w:rPr>
      </w:pPr>
      <w:r w:rsidRPr="00D474E7">
        <w:rPr>
          <w:rFonts w:ascii="Calibri" w:hAnsi="Calibri" w:cs="Calibri"/>
          <w:b/>
          <w:sz w:val="22"/>
          <w:szCs w:val="22"/>
        </w:rPr>
        <w:t>DGRH :</w:t>
      </w:r>
      <w:r>
        <w:rPr>
          <w:rFonts w:ascii="Calibri" w:hAnsi="Calibri" w:cs="Calibri"/>
          <w:sz w:val="22"/>
          <w:szCs w:val="22"/>
        </w:rPr>
        <w:t xml:space="preserve"> Vincent SOETEMONT, David HERLICOVIEZ</w:t>
      </w:r>
      <w:r w:rsidR="00EA4E22">
        <w:rPr>
          <w:rFonts w:ascii="Calibri" w:hAnsi="Calibri" w:cs="Calibri"/>
          <w:sz w:val="22"/>
          <w:szCs w:val="22"/>
        </w:rPr>
        <w:t xml:space="preserve"> et représentantes de la sous-direction C1</w:t>
      </w:r>
    </w:p>
    <w:p w:rsidR="00613940" w:rsidRDefault="00613940" w:rsidP="00613940">
      <w:pPr>
        <w:pStyle w:val="Intgralebase"/>
        <w:jc w:val="both"/>
        <w:rPr>
          <w:rFonts w:ascii="Calibri" w:hAnsi="Calibri" w:cs="Calibri"/>
          <w:sz w:val="22"/>
          <w:szCs w:val="22"/>
        </w:rPr>
      </w:pPr>
      <w:r w:rsidRPr="00D474E7">
        <w:rPr>
          <w:rFonts w:ascii="Calibri" w:hAnsi="Calibri" w:cs="Calibri"/>
          <w:b/>
          <w:sz w:val="22"/>
          <w:szCs w:val="22"/>
        </w:rPr>
        <w:t>IGESR :</w:t>
      </w:r>
      <w:r>
        <w:rPr>
          <w:rFonts w:ascii="Calibri" w:hAnsi="Calibri" w:cs="Calibri"/>
          <w:sz w:val="22"/>
          <w:szCs w:val="22"/>
        </w:rPr>
        <w:t xml:space="preserve"> Philippe REYMOND</w:t>
      </w:r>
      <w:r w:rsidR="001A3467">
        <w:rPr>
          <w:rFonts w:ascii="Calibri" w:hAnsi="Calibri" w:cs="Calibri"/>
          <w:sz w:val="22"/>
          <w:szCs w:val="22"/>
        </w:rPr>
        <w:t xml:space="preserve"> / </w:t>
      </w:r>
      <w:r w:rsidRPr="00613940">
        <w:rPr>
          <w:rFonts w:ascii="Calibri" w:hAnsi="Calibri" w:cs="Calibri"/>
          <w:sz w:val="22"/>
          <w:szCs w:val="22"/>
        </w:rPr>
        <w:t xml:space="preserve">Baptiste LECONTE </w:t>
      </w:r>
      <w:r w:rsidR="00D474E7" w:rsidRPr="00613940">
        <w:rPr>
          <w:rFonts w:ascii="Calibri" w:hAnsi="Calibri" w:cs="Calibri"/>
          <w:sz w:val="22"/>
          <w:szCs w:val="22"/>
        </w:rPr>
        <w:t>(</w:t>
      </w:r>
      <w:r w:rsidR="00D474E7">
        <w:rPr>
          <w:rFonts w:ascii="Calibri" w:hAnsi="Calibri" w:cs="Calibri"/>
          <w:sz w:val="22"/>
          <w:szCs w:val="22"/>
        </w:rPr>
        <w:t>expert</w:t>
      </w:r>
      <w:r w:rsidR="00D474E7" w:rsidRPr="00613940">
        <w:rPr>
          <w:rFonts w:ascii="Calibri" w:hAnsi="Calibri" w:cs="Calibri"/>
          <w:sz w:val="22"/>
          <w:szCs w:val="22"/>
        </w:rPr>
        <w:t>)</w:t>
      </w:r>
    </w:p>
    <w:p w:rsidR="00D474E7" w:rsidRPr="00613940" w:rsidRDefault="00D474E7" w:rsidP="00613940">
      <w:pPr>
        <w:pStyle w:val="Intgralebase"/>
        <w:jc w:val="both"/>
        <w:rPr>
          <w:rFonts w:ascii="Calibri" w:hAnsi="Calibri" w:cs="Calibri"/>
          <w:sz w:val="22"/>
          <w:szCs w:val="22"/>
        </w:rPr>
      </w:pPr>
    </w:p>
    <w:p w:rsidR="002304F2" w:rsidRPr="00613940" w:rsidRDefault="00D474E7" w:rsidP="00613940">
      <w:pPr>
        <w:pStyle w:val="Intgralebase"/>
        <w:jc w:val="both"/>
        <w:rPr>
          <w:rFonts w:ascii="Calibri" w:hAnsi="Calibri" w:cs="Calibri"/>
          <w:sz w:val="22"/>
          <w:szCs w:val="22"/>
        </w:rPr>
      </w:pPr>
      <w:r w:rsidRPr="00EA4E22">
        <w:rPr>
          <w:rFonts w:ascii="Calibri" w:hAnsi="Calibri" w:cs="Calibri"/>
          <w:b/>
          <w:sz w:val="22"/>
          <w:szCs w:val="22"/>
        </w:rPr>
        <w:t>FSU 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613940" w:rsidRPr="00613940">
        <w:rPr>
          <w:rFonts w:ascii="Calibri" w:hAnsi="Calibri" w:cs="Calibri"/>
          <w:sz w:val="22"/>
          <w:szCs w:val="22"/>
        </w:rPr>
        <w:t>Bru</w:t>
      </w:r>
      <w:r>
        <w:rPr>
          <w:rFonts w:ascii="Calibri" w:hAnsi="Calibri" w:cs="Calibri"/>
          <w:sz w:val="22"/>
          <w:szCs w:val="22"/>
        </w:rPr>
        <w:t xml:space="preserve">no LEVEDER, </w:t>
      </w:r>
      <w:r w:rsidR="002304F2" w:rsidRPr="00613940">
        <w:rPr>
          <w:rFonts w:ascii="Calibri" w:hAnsi="Calibri" w:cs="Calibri"/>
          <w:sz w:val="22"/>
          <w:szCs w:val="22"/>
        </w:rPr>
        <w:t>Emmanuel SECHET</w:t>
      </w:r>
      <w:r>
        <w:rPr>
          <w:rFonts w:ascii="Calibri" w:hAnsi="Calibri" w:cs="Calibri"/>
          <w:sz w:val="22"/>
          <w:szCs w:val="22"/>
        </w:rPr>
        <w:t xml:space="preserve">, </w:t>
      </w:r>
      <w:r w:rsidR="002304F2" w:rsidRPr="00613940">
        <w:rPr>
          <w:rFonts w:ascii="Calibri" w:hAnsi="Calibri" w:cs="Calibri"/>
          <w:sz w:val="22"/>
          <w:szCs w:val="22"/>
        </w:rPr>
        <w:t>Nathalie ANDRIEUX-HENNEQUIN</w:t>
      </w:r>
      <w:r>
        <w:rPr>
          <w:rFonts w:ascii="Calibri" w:hAnsi="Calibri" w:cs="Calibri"/>
          <w:sz w:val="22"/>
          <w:szCs w:val="22"/>
        </w:rPr>
        <w:t xml:space="preserve">, </w:t>
      </w:r>
      <w:r w:rsidR="002304F2" w:rsidRPr="00613940">
        <w:rPr>
          <w:rFonts w:ascii="Calibri" w:hAnsi="Calibri" w:cs="Calibri"/>
          <w:sz w:val="22"/>
          <w:szCs w:val="22"/>
        </w:rPr>
        <w:t>Blaise PAILLARD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br/>
      </w:r>
      <w:r w:rsidR="002304F2" w:rsidRPr="00613940">
        <w:rPr>
          <w:rFonts w:ascii="Calibri" w:hAnsi="Calibri" w:cs="Calibri"/>
          <w:sz w:val="22"/>
          <w:szCs w:val="22"/>
        </w:rPr>
        <w:t>Evelyne BLANCHON</w:t>
      </w:r>
    </w:p>
    <w:p w:rsidR="001A3467" w:rsidRPr="00613940" w:rsidRDefault="002304F2" w:rsidP="001A3467">
      <w:pPr>
        <w:pStyle w:val="Intgralebase"/>
        <w:jc w:val="both"/>
        <w:rPr>
          <w:rFonts w:ascii="Calibri" w:hAnsi="Calibri" w:cs="Calibri"/>
          <w:sz w:val="22"/>
          <w:szCs w:val="22"/>
        </w:rPr>
      </w:pPr>
      <w:r w:rsidRPr="00EA4E22">
        <w:rPr>
          <w:rFonts w:ascii="Calibri" w:hAnsi="Calibri" w:cs="Calibri"/>
          <w:b/>
          <w:sz w:val="22"/>
          <w:szCs w:val="22"/>
        </w:rPr>
        <w:t>UNSA Education:</w:t>
      </w:r>
      <w:r w:rsidR="00D474E7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Elisabeth ALLAIN-MORENO</w:t>
      </w:r>
      <w:r w:rsidR="00D474E7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Sébastien DECROIX</w:t>
      </w:r>
      <w:r w:rsidR="00D474E7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Hawa SALL</w:t>
      </w:r>
      <w:r w:rsidR="001A3467" w:rsidRPr="00EA4E22">
        <w:rPr>
          <w:rFonts w:ascii="Calibri" w:hAnsi="Calibri" w:cs="Calibri"/>
          <w:b/>
          <w:sz w:val="22"/>
          <w:szCs w:val="22"/>
        </w:rPr>
        <w:t>:</w:t>
      </w:r>
      <w:r w:rsidR="001A3467">
        <w:rPr>
          <w:rFonts w:ascii="Calibri" w:hAnsi="Calibri" w:cs="Calibri"/>
          <w:sz w:val="22"/>
          <w:szCs w:val="22"/>
        </w:rPr>
        <w:t xml:space="preserve"> Christian CHAMPENDAL</w:t>
      </w:r>
      <w:r w:rsidR="001A3467" w:rsidRPr="001A3467">
        <w:rPr>
          <w:rFonts w:ascii="Calibri" w:hAnsi="Calibri" w:cs="Calibri"/>
          <w:b/>
          <w:sz w:val="22"/>
          <w:szCs w:val="22"/>
        </w:rPr>
        <w:t xml:space="preserve"> </w:t>
      </w:r>
      <w:r w:rsidR="001A3467" w:rsidRPr="001A3467">
        <w:rPr>
          <w:rFonts w:ascii="Calibri" w:hAnsi="Calibri" w:cs="Calibri"/>
          <w:sz w:val="22"/>
          <w:szCs w:val="22"/>
        </w:rPr>
        <w:t>(SNIA IPR ) </w:t>
      </w:r>
      <w:r w:rsidR="001A3467">
        <w:rPr>
          <w:rFonts w:ascii="Calibri" w:hAnsi="Calibri" w:cs="Calibri"/>
          <w:b/>
          <w:sz w:val="22"/>
          <w:szCs w:val="22"/>
        </w:rPr>
        <w:t xml:space="preserve">et </w:t>
      </w:r>
      <w:r w:rsidR="001A3467">
        <w:rPr>
          <w:rFonts w:ascii="Calibri" w:hAnsi="Calibri" w:cs="Calibri"/>
          <w:sz w:val="22"/>
          <w:szCs w:val="22"/>
        </w:rPr>
        <w:t>Valérie QUERIC</w:t>
      </w:r>
      <w:r w:rsidR="001A3467" w:rsidRPr="001A3467">
        <w:rPr>
          <w:rFonts w:ascii="Calibri" w:hAnsi="Calibri" w:cs="Calibri"/>
          <w:b/>
          <w:sz w:val="22"/>
          <w:szCs w:val="22"/>
        </w:rPr>
        <w:t xml:space="preserve"> </w:t>
      </w:r>
      <w:r w:rsidR="001A3467" w:rsidRPr="001A3467">
        <w:rPr>
          <w:rFonts w:ascii="Calibri" w:hAnsi="Calibri" w:cs="Calibri"/>
          <w:sz w:val="22"/>
          <w:szCs w:val="22"/>
        </w:rPr>
        <w:t>(SNPDEN)</w:t>
      </w:r>
    </w:p>
    <w:p w:rsidR="002304F2" w:rsidRPr="00613940" w:rsidRDefault="002304F2" w:rsidP="002304F2">
      <w:pPr>
        <w:pStyle w:val="Intgralebase"/>
        <w:jc w:val="both"/>
        <w:rPr>
          <w:rFonts w:ascii="Calibri" w:hAnsi="Calibri" w:cs="Calibri"/>
          <w:sz w:val="22"/>
          <w:szCs w:val="22"/>
        </w:rPr>
      </w:pPr>
      <w:r w:rsidRPr="00EA4E22">
        <w:rPr>
          <w:rFonts w:ascii="Calibri" w:hAnsi="Calibri" w:cs="Calibri"/>
          <w:b/>
          <w:sz w:val="22"/>
          <w:szCs w:val="22"/>
        </w:rPr>
        <w:t>FO :</w:t>
      </w:r>
      <w:r>
        <w:rPr>
          <w:rFonts w:ascii="Calibri" w:hAnsi="Calibri" w:cs="Calibri"/>
          <w:sz w:val="22"/>
          <w:szCs w:val="22"/>
        </w:rPr>
        <w:t xml:space="preserve"> Frédéric ARSANE</w:t>
      </w:r>
    </w:p>
    <w:p w:rsidR="001A3467" w:rsidRPr="00613940" w:rsidRDefault="001A3467" w:rsidP="001A3467">
      <w:pPr>
        <w:pStyle w:val="Intgralebase"/>
        <w:jc w:val="both"/>
        <w:rPr>
          <w:rFonts w:ascii="Calibri" w:hAnsi="Calibri" w:cs="Calibri"/>
          <w:sz w:val="22"/>
          <w:szCs w:val="22"/>
        </w:rPr>
      </w:pPr>
      <w:r w:rsidRPr="00EA4E22">
        <w:rPr>
          <w:rFonts w:ascii="Calibri" w:hAnsi="Calibri" w:cs="Calibri"/>
          <w:b/>
          <w:sz w:val="22"/>
          <w:szCs w:val="22"/>
        </w:rPr>
        <w:t xml:space="preserve">SGEN CFDT : </w:t>
      </w:r>
      <w:r>
        <w:rPr>
          <w:rFonts w:ascii="Calibri" w:hAnsi="Calibri" w:cs="Calibri"/>
          <w:sz w:val="22"/>
          <w:szCs w:val="22"/>
        </w:rPr>
        <w:t>Laëtitia ARESU, Florence BUBONNET</w:t>
      </w:r>
    </w:p>
    <w:p w:rsidR="002304F2" w:rsidRPr="00782030" w:rsidRDefault="001A3467" w:rsidP="002304F2">
      <w:pPr>
        <w:pStyle w:val="Intgralebase"/>
        <w:jc w:val="both"/>
        <w:rPr>
          <w:rFonts w:ascii="Calibri" w:hAnsi="Calibri" w:cs="Calibri"/>
          <w:sz w:val="22"/>
          <w:szCs w:val="22"/>
          <w:lang w:val="en-US"/>
        </w:rPr>
      </w:pPr>
      <w:r w:rsidRPr="00782030">
        <w:rPr>
          <w:rFonts w:ascii="Calibri" w:hAnsi="Calibri" w:cs="Calibri"/>
          <w:b/>
          <w:sz w:val="22"/>
          <w:szCs w:val="22"/>
          <w:lang w:val="en-US"/>
        </w:rPr>
        <w:t>CGT Education :</w:t>
      </w:r>
      <w:r w:rsidRPr="00782030">
        <w:rPr>
          <w:rFonts w:ascii="Calibri" w:hAnsi="Calibri" w:cs="Calibri"/>
          <w:sz w:val="22"/>
          <w:szCs w:val="22"/>
          <w:lang w:val="en-US"/>
        </w:rPr>
        <w:t xml:space="preserve"> Elena BLOND-KTORIDES</w:t>
      </w:r>
    </w:p>
    <w:p w:rsidR="001A3467" w:rsidRPr="00782030" w:rsidRDefault="001A3467" w:rsidP="001A3467">
      <w:pPr>
        <w:pStyle w:val="Intgralebase"/>
        <w:jc w:val="both"/>
        <w:rPr>
          <w:rFonts w:ascii="Calibri" w:hAnsi="Calibri" w:cs="Calibri"/>
          <w:sz w:val="22"/>
          <w:szCs w:val="22"/>
          <w:lang w:val="en-US"/>
        </w:rPr>
      </w:pPr>
      <w:r w:rsidRPr="00782030">
        <w:rPr>
          <w:rFonts w:ascii="Calibri" w:hAnsi="Calibri" w:cs="Calibri"/>
          <w:b/>
          <w:sz w:val="22"/>
          <w:szCs w:val="22"/>
          <w:lang w:val="en-US"/>
        </w:rPr>
        <w:t>SNALC :</w:t>
      </w:r>
      <w:r w:rsidRPr="00782030">
        <w:rPr>
          <w:rFonts w:ascii="Calibri" w:hAnsi="Calibri" w:cs="Calibri"/>
          <w:sz w:val="22"/>
          <w:szCs w:val="22"/>
          <w:lang w:val="en-US"/>
        </w:rPr>
        <w:t xml:space="preserve"> Laurine MONDON</w:t>
      </w:r>
    </w:p>
    <w:p w:rsidR="00613940" w:rsidRDefault="002304F2" w:rsidP="00613940">
      <w:pPr>
        <w:pStyle w:val="Intgralebase"/>
        <w:jc w:val="both"/>
        <w:rPr>
          <w:rFonts w:ascii="Calibri" w:hAnsi="Calibri" w:cs="Calibri"/>
          <w:sz w:val="22"/>
          <w:szCs w:val="22"/>
        </w:rPr>
      </w:pPr>
      <w:r w:rsidRPr="00EA4E22">
        <w:rPr>
          <w:rFonts w:ascii="Calibri" w:hAnsi="Calibri" w:cs="Calibri"/>
          <w:b/>
          <w:sz w:val="22"/>
          <w:szCs w:val="22"/>
        </w:rPr>
        <w:t>SNE :</w:t>
      </w:r>
      <w:r>
        <w:rPr>
          <w:rFonts w:ascii="Calibri" w:hAnsi="Calibri" w:cs="Calibri"/>
          <w:sz w:val="22"/>
          <w:szCs w:val="22"/>
        </w:rPr>
        <w:t xml:space="preserve"> </w:t>
      </w:r>
      <w:r w:rsidR="00085571">
        <w:rPr>
          <w:rFonts w:ascii="Calibri" w:hAnsi="Calibri" w:cs="Calibri"/>
          <w:sz w:val="22"/>
          <w:szCs w:val="22"/>
        </w:rPr>
        <w:t xml:space="preserve">Philippe </w:t>
      </w:r>
      <w:r>
        <w:rPr>
          <w:rFonts w:ascii="Calibri" w:hAnsi="Calibri" w:cs="Calibri"/>
          <w:sz w:val="22"/>
          <w:szCs w:val="22"/>
        </w:rPr>
        <w:t>RATINET</w:t>
      </w:r>
    </w:p>
    <w:p w:rsidR="00613940" w:rsidRDefault="00613940" w:rsidP="00613940">
      <w:pPr>
        <w:pStyle w:val="Intgralebase"/>
        <w:jc w:val="both"/>
        <w:rPr>
          <w:rFonts w:ascii="Calibri" w:hAnsi="Calibri" w:cs="Calibri"/>
          <w:sz w:val="22"/>
          <w:szCs w:val="22"/>
        </w:rPr>
      </w:pPr>
    </w:p>
    <w:p w:rsidR="00C24244" w:rsidRDefault="00C24244" w:rsidP="00C24244">
      <w:pPr>
        <w:pStyle w:val="Intgralebase"/>
        <w:spacing w:line="240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EA4E22" w:rsidRPr="00AD5952" w:rsidRDefault="00EA4E22" w:rsidP="009A1FC5">
      <w:pPr>
        <w:pStyle w:val="Intgralebase"/>
        <w:spacing w:line="24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AD5952">
        <w:rPr>
          <w:rFonts w:ascii="Calibri" w:hAnsi="Calibri" w:cs="Calibri"/>
          <w:b/>
          <w:sz w:val="22"/>
          <w:szCs w:val="22"/>
          <w:u w:val="single"/>
        </w:rPr>
        <w:t xml:space="preserve">Propos </w:t>
      </w:r>
      <w:r w:rsidR="00AD5952" w:rsidRPr="00AD5952">
        <w:rPr>
          <w:rFonts w:ascii="Calibri" w:hAnsi="Calibri" w:cs="Calibri"/>
          <w:b/>
          <w:sz w:val="22"/>
          <w:szCs w:val="22"/>
          <w:u w:val="single"/>
        </w:rPr>
        <w:t>liminaires des OS</w:t>
      </w:r>
    </w:p>
    <w:p w:rsidR="00EA4E22" w:rsidRDefault="00AD5952" w:rsidP="008E3D84">
      <w:pPr>
        <w:pStyle w:val="Intgralebase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Fort intérêt des OS pour la thématique de la QVT, sujet riche et peu investi par le ministère, attentes de mesures concrètes.</w:t>
      </w:r>
    </w:p>
    <w:p w:rsidR="00AD5952" w:rsidRPr="00AD5952" w:rsidRDefault="00A23BAA">
      <w:pPr>
        <w:pStyle w:val="Intgralebase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Volonté d’un certain nombre de participants au GT de bien distinguer les conditions d’exercice du métier du reste des thèmes proposés, d’y consacrer un temps de discussion suffisant, et d’aborder </w:t>
      </w:r>
      <w:r w:rsidR="00AD5952">
        <w:rPr>
          <w:rFonts w:ascii="Calibri" w:hAnsi="Calibri" w:cs="Calibri"/>
          <w:sz w:val="22"/>
          <w:szCs w:val="22"/>
        </w:rPr>
        <w:t>des aspects non évo</w:t>
      </w:r>
      <w:r>
        <w:rPr>
          <w:rFonts w:ascii="Calibri" w:hAnsi="Calibri" w:cs="Calibri"/>
          <w:sz w:val="22"/>
          <w:szCs w:val="22"/>
        </w:rPr>
        <w:t>qués dans les premiers questionnements</w:t>
      </w:r>
      <w:r w:rsidR="00AD5952">
        <w:rPr>
          <w:rFonts w:ascii="Calibri" w:hAnsi="Calibri" w:cs="Calibri"/>
          <w:sz w:val="22"/>
          <w:szCs w:val="22"/>
        </w:rPr>
        <w:t xml:space="preserve"> (</w:t>
      </w:r>
      <w:r w:rsidR="00085571">
        <w:rPr>
          <w:rFonts w:ascii="Calibri" w:hAnsi="Calibri" w:cs="Calibri"/>
          <w:sz w:val="22"/>
          <w:szCs w:val="22"/>
        </w:rPr>
        <w:t xml:space="preserve">sens du travail, </w:t>
      </w:r>
      <w:r w:rsidR="00AD5952">
        <w:rPr>
          <w:rFonts w:ascii="Calibri" w:hAnsi="Calibri" w:cs="Calibri"/>
          <w:sz w:val="22"/>
          <w:szCs w:val="22"/>
        </w:rPr>
        <w:t xml:space="preserve">conditions de travail, </w:t>
      </w:r>
      <w:r w:rsidR="00085571">
        <w:rPr>
          <w:rFonts w:ascii="Calibri" w:hAnsi="Calibri" w:cs="Calibri"/>
          <w:sz w:val="22"/>
          <w:szCs w:val="22"/>
        </w:rPr>
        <w:t>pouvoir d’agir sur l’</w:t>
      </w:r>
      <w:r w:rsidR="00AD5952">
        <w:rPr>
          <w:rFonts w:ascii="Calibri" w:hAnsi="Calibri" w:cs="Calibri"/>
          <w:sz w:val="22"/>
          <w:szCs w:val="22"/>
        </w:rPr>
        <w:t>organisation du travail et management, télétravail</w:t>
      </w:r>
      <w:r w:rsidR="007065C1">
        <w:rPr>
          <w:rFonts w:ascii="Calibri" w:hAnsi="Calibri" w:cs="Calibri"/>
          <w:sz w:val="22"/>
          <w:szCs w:val="22"/>
        </w:rPr>
        <w:t>, reconnaissance salariale…</w:t>
      </w:r>
      <w:r w:rsidR="00AD5952">
        <w:rPr>
          <w:rFonts w:ascii="Calibri" w:hAnsi="Calibri" w:cs="Calibri"/>
          <w:sz w:val="22"/>
          <w:szCs w:val="22"/>
        </w:rPr>
        <w:t>)</w:t>
      </w:r>
      <w:r w:rsidR="000E10B2">
        <w:rPr>
          <w:rFonts w:ascii="Calibri" w:hAnsi="Calibri" w:cs="Calibri"/>
          <w:sz w:val="22"/>
          <w:szCs w:val="22"/>
        </w:rPr>
        <w:t>.</w:t>
      </w:r>
    </w:p>
    <w:p w:rsidR="00A23BAA" w:rsidRDefault="000E10B2">
      <w:pPr>
        <w:pStyle w:val="Intgralebase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Sujets présentés comme connexes (action sociale et PSC) </w:t>
      </w:r>
      <w:r w:rsidR="001A3467">
        <w:rPr>
          <w:rFonts w:ascii="Calibri" w:hAnsi="Calibri" w:cs="Calibri"/>
          <w:sz w:val="22"/>
          <w:szCs w:val="22"/>
        </w:rPr>
        <w:t xml:space="preserve">qui </w:t>
      </w:r>
      <w:r>
        <w:rPr>
          <w:rFonts w:ascii="Calibri" w:hAnsi="Calibri" w:cs="Calibri"/>
          <w:sz w:val="22"/>
          <w:szCs w:val="22"/>
        </w:rPr>
        <w:t>peuvent just</w:t>
      </w:r>
      <w:r w:rsidR="00A23BAA">
        <w:rPr>
          <w:rFonts w:ascii="Calibri" w:hAnsi="Calibri" w:cs="Calibri"/>
          <w:sz w:val="22"/>
          <w:szCs w:val="22"/>
        </w:rPr>
        <w:t>ifier un traitement différencié, mais très articulés pour un certain nombre d’entre eux avec les conditions d’exercice du métier.</w:t>
      </w:r>
    </w:p>
    <w:p w:rsidR="00EA4E22" w:rsidRDefault="00EA4E22">
      <w:pPr>
        <w:pStyle w:val="Intgralebase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3E7EE5" w:rsidRPr="00950CD3" w:rsidRDefault="003E7EE5">
      <w:pPr>
        <w:pStyle w:val="Intgralebase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950CD3">
        <w:rPr>
          <w:rFonts w:ascii="Calibri" w:hAnsi="Calibri" w:cs="Calibri"/>
          <w:b/>
          <w:sz w:val="22"/>
          <w:szCs w:val="22"/>
        </w:rPr>
        <w:t xml:space="preserve">Amélioration des conditions d’exercice du métier (environnement, offre de services, équipement, télétravail…) </w:t>
      </w:r>
    </w:p>
    <w:p w:rsidR="00F10BAF" w:rsidRPr="00950CD3" w:rsidRDefault="00F10BAF">
      <w:pPr>
        <w:pStyle w:val="Intgralebase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CC7895" w:rsidRDefault="00CC7895">
      <w:pPr>
        <w:pStyle w:val="Intgralebase"/>
        <w:numPr>
          <w:ilvl w:val="0"/>
          <w:numId w:val="7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Attentes fortes des OS pour </w:t>
      </w:r>
      <w:r w:rsidR="009A1FC5">
        <w:rPr>
          <w:rFonts w:ascii="Calibri" w:hAnsi="Calibri" w:cs="Calibri"/>
          <w:sz w:val="22"/>
          <w:szCs w:val="22"/>
        </w:rPr>
        <w:t xml:space="preserve">retrouver le sens du métier et </w:t>
      </w:r>
      <w:r>
        <w:rPr>
          <w:rFonts w:ascii="Calibri" w:hAnsi="Calibri" w:cs="Calibri"/>
          <w:sz w:val="22"/>
          <w:szCs w:val="22"/>
        </w:rPr>
        <w:t>améliorer les conditions de travail des personnels.</w:t>
      </w:r>
    </w:p>
    <w:p w:rsidR="00A23BAA" w:rsidRDefault="00A23BAA" w:rsidP="00A23BAA">
      <w:pPr>
        <w:pStyle w:val="Intgralebase"/>
        <w:numPr>
          <w:ilvl w:val="0"/>
          <w:numId w:val="7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Développer l’analyse de pratiques professionnelles, l’accompagnement des personnels débutants par les plus expérimentés, mettre en place des réseaux d’aidants par métier</w:t>
      </w:r>
      <w:r w:rsidR="002D70C5">
        <w:rPr>
          <w:rFonts w:ascii="Calibri" w:hAnsi="Calibri" w:cs="Calibri"/>
          <w:sz w:val="22"/>
          <w:szCs w:val="22"/>
        </w:rPr>
        <w:t> ; besoin de développer les temps collectifs, d’échanges et de coopération entre pairs pour sortir le professeur de son isolement </w:t>
      </w:r>
    </w:p>
    <w:p w:rsidR="00A23BAA" w:rsidRDefault="00A23BAA" w:rsidP="00A23BAA">
      <w:pPr>
        <w:pStyle w:val="Intgralebase"/>
        <w:numPr>
          <w:ilvl w:val="0"/>
          <w:numId w:val="7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Encadrement : f</w:t>
      </w:r>
      <w:r w:rsidRPr="009A1FC5">
        <w:rPr>
          <w:rFonts w:ascii="Calibri" w:hAnsi="Calibri" w:cs="Calibri"/>
          <w:sz w:val="22"/>
          <w:szCs w:val="22"/>
        </w:rPr>
        <w:t>aire évoluer l’animatio</w:t>
      </w:r>
      <w:r>
        <w:rPr>
          <w:rFonts w:ascii="Calibri" w:hAnsi="Calibri" w:cs="Calibri"/>
          <w:sz w:val="22"/>
          <w:szCs w:val="22"/>
        </w:rPr>
        <w:t>n des équipes pédagogiques, améliorer la communication et les échanges entre encadrant/e</w:t>
      </w:r>
      <w:r w:rsidR="00EC76F3">
        <w:rPr>
          <w:rFonts w:ascii="Calibri" w:hAnsi="Calibri" w:cs="Calibri"/>
          <w:sz w:val="22"/>
          <w:szCs w:val="22"/>
        </w:rPr>
        <w:t xml:space="preserve">ncadré, </w:t>
      </w:r>
      <w:r w:rsidR="002D70C5">
        <w:rPr>
          <w:rFonts w:ascii="Calibri" w:hAnsi="Calibri" w:cs="Calibri"/>
          <w:sz w:val="22"/>
          <w:szCs w:val="22"/>
        </w:rPr>
        <w:t>besoin en particulier de redéfinir la rel</w:t>
      </w:r>
      <w:r w:rsidR="00EC76F3">
        <w:rPr>
          <w:rFonts w:ascii="Calibri" w:hAnsi="Calibri" w:cs="Calibri"/>
          <w:sz w:val="22"/>
          <w:szCs w:val="22"/>
        </w:rPr>
        <w:t>ation professeurs – inspecteurs</w:t>
      </w:r>
      <w:r>
        <w:rPr>
          <w:rFonts w:ascii="Calibri" w:hAnsi="Calibri" w:cs="Calibri"/>
          <w:sz w:val="22"/>
          <w:szCs w:val="22"/>
        </w:rPr>
        <w:t>, préciser les missions attendues ; de façon générale, développer les bonnes pratiques en matière d’encadrement à tous les niveaux de l’institution (chefs d’établissement, corps d’inspection…</w:t>
      </w:r>
      <w:r w:rsidR="002D70C5">
        <w:rPr>
          <w:rFonts w:ascii="Calibri" w:hAnsi="Calibri" w:cs="Calibri"/>
          <w:sz w:val="22"/>
          <w:szCs w:val="22"/>
        </w:rPr>
        <w:t>) et développer la formation à ces bonnes pratiques</w:t>
      </w:r>
    </w:p>
    <w:p w:rsidR="00A23BAA" w:rsidRDefault="00A23BAA" w:rsidP="00A23BAA">
      <w:pPr>
        <w:pStyle w:val="Intgralebase"/>
        <w:numPr>
          <w:ilvl w:val="0"/>
          <w:numId w:val="7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Association des personnels à la définition des organisations de travail</w:t>
      </w:r>
    </w:p>
    <w:p w:rsidR="00A23BAA" w:rsidRDefault="00A23BAA" w:rsidP="00A23BAA">
      <w:pPr>
        <w:pStyle w:val="Intgralebase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9A1FC5">
        <w:rPr>
          <w:rFonts w:ascii="Calibri" w:hAnsi="Calibri" w:cs="Calibri"/>
          <w:sz w:val="22"/>
          <w:szCs w:val="22"/>
        </w:rPr>
        <w:t>Promouvoir un parcours d’accueil des nouveaux arr</w:t>
      </w:r>
      <w:r>
        <w:rPr>
          <w:rFonts w:ascii="Calibri" w:hAnsi="Calibri" w:cs="Calibri"/>
          <w:sz w:val="22"/>
          <w:szCs w:val="22"/>
        </w:rPr>
        <w:t xml:space="preserve">ivants </w:t>
      </w:r>
    </w:p>
    <w:p w:rsidR="002D70C5" w:rsidRPr="009A1FC5" w:rsidRDefault="002D70C5" w:rsidP="00A23BAA">
      <w:pPr>
        <w:pStyle w:val="Intgralebase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Remédier à une communication trop descendante du MENJS </w:t>
      </w:r>
    </w:p>
    <w:p w:rsidR="00A23BAA" w:rsidRPr="009A1FC5" w:rsidRDefault="00A23BAA" w:rsidP="00A23BAA">
      <w:pPr>
        <w:pStyle w:val="Intgralebase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9A1FC5">
        <w:rPr>
          <w:rFonts w:ascii="Calibri" w:hAnsi="Calibri" w:cs="Calibri"/>
          <w:sz w:val="22"/>
          <w:szCs w:val="22"/>
        </w:rPr>
        <w:lastRenderedPageBreak/>
        <w:t>Développer des espaces de connaissance mutuelle des métiers de l’éducation (formations communes, etc.)</w:t>
      </w:r>
    </w:p>
    <w:p w:rsidR="00C7240C" w:rsidRDefault="007065C1">
      <w:pPr>
        <w:pStyle w:val="Intgralebase"/>
        <w:numPr>
          <w:ilvl w:val="0"/>
          <w:numId w:val="7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Tous les personnels doivent être dotés de matériels et de logiciels adaptés ; le matériel doit être adapté aux missions spécifiques de certains personnels et accessibles à distance afin de </w:t>
      </w:r>
      <w:r w:rsidR="00CC7895">
        <w:rPr>
          <w:rFonts w:ascii="Calibri" w:hAnsi="Calibri" w:cs="Calibri"/>
          <w:sz w:val="22"/>
          <w:szCs w:val="22"/>
        </w:rPr>
        <w:t xml:space="preserve">faciliter </w:t>
      </w:r>
      <w:r>
        <w:rPr>
          <w:rFonts w:ascii="Calibri" w:hAnsi="Calibri" w:cs="Calibri"/>
          <w:sz w:val="22"/>
          <w:szCs w:val="22"/>
        </w:rPr>
        <w:t>le télétravail, quelles que soient les fonctions occupées</w:t>
      </w:r>
      <w:r w:rsidR="009A1FC5">
        <w:rPr>
          <w:rFonts w:ascii="Calibri" w:hAnsi="Calibri" w:cs="Calibri"/>
          <w:sz w:val="22"/>
          <w:szCs w:val="22"/>
        </w:rPr>
        <w:t> ; la maintenance informatique doit être organisée.</w:t>
      </w:r>
    </w:p>
    <w:p w:rsidR="009A1FC5" w:rsidRPr="009A1FC5" w:rsidRDefault="002D70C5" w:rsidP="00A21711">
      <w:pPr>
        <w:pStyle w:val="Intgralebase"/>
        <w:numPr>
          <w:ilvl w:val="0"/>
          <w:numId w:val="7"/>
        </w:numPr>
        <w:spacing w:line="24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>Repenser le bâti scolaire</w:t>
      </w:r>
      <w:r w:rsidR="006E2172" w:rsidRPr="009A1FC5">
        <w:rPr>
          <w:rFonts w:ascii="Calibri" w:hAnsi="Calibri" w:cs="Calibri"/>
          <w:sz w:val="22"/>
          <w:szCs w:val="22"/>
        </w:rPr>
        <w:t xml:space="preserve"> en lien avec les collectivités territoriales </w:t>
      </w:r>
      <w:r>
        <w:rPr>
          <w:rFonts w:ascii="Calibri" w:hAnsi="Calibri" w:cs="Calibri"/>
          <w:sz w:val="22"/>
          <w:szCs w:val="22"/>
        </w:rPr>
        <w:t xml:space="preserve">et les personnels </w:t>
      </w:r>
      <w:r w:rsidR="006E2172" w:rsidRPr="009A1FC5">
        <w:rPr>
          <w:rFonts w:ascii="Calibri" w:hAnsi="Calibri" w:cs="Calibri"/>
          <w:sz w:val="22"/>
          <w:szCs w:val="22"/>
        </w:rPr>
        <w:t xml:space="preserve">: prévoir des espaces de co-working, avoir des locaux </w:t>
      </w:r>
      <w:r w:rsidR="009A1FC5">
        <w:rPr>
          <w:rFonts w:ascii="Calibri" w:hAnsi="Calibri" w:cs="Calibri"/>
          <w:sz w:val="22"/>
          <w:szCs w:val="22"/>
        </w:rPr>
        <w:t xml:space="preserve">silencieux et </w:t>
      </w:r>
      <w:r w:rsidR="006E2172" w:rsidRPr="009A1FC5">
        <w:rPr>
          <w:rFonts w:ascii="Calibri" w:hAnsi="Calibri" w:cs="Calibri"/>
          <w:sz w:val="22"/>
          <w:szCs w:val="22"/>
        </w:rPr>
        <w:t>adaptés aux missions, prévoir une surface minimale par élève et par classe, prévoir des espaces dédiés à la restauration</w:t>
      </w:r>
      <w:r>
        <w:rPr>
          <w:rFonts w:ascii="Calibri" w:hAnsi="Calibri" w:cs="Calibri"/>
          <w:sz w:val="22"/>
          <w:szCs w:val="22"/>
        </w:rPr>
        <w:t>, à l’accueil des parents</w:t>
      </w:r>
      <w:r w:rsidR="006E2172" w:rsidRPr="009A1FC5">
        <w:rPr>
          <w:rFonts w:ascii="Calibri" w:hAnsi="Calibri" w:cs="Calibri"/>
          <w:sz w:val="22"/>
          <w:szCs w:val="22"/>
        </w:rPr>
        <w:t>, aménager des espaces de convivialité</w:t>
      </w:r>
      <w:r w:rsidR="009A1FC5">
        <w:rPr>
          <w:rFonts w:ascii="Times New Roman" w:hAnsi="Times New Roman"/>
        </w:rPr>
        <w:t xml:space="preserve"> (</w:t>
      </w:r>
      <w:r w:rsidR="009A1FC5" w:rsidRPr="00A21711">
        <w:rPr>
          <w:rFonts w:ascii="Calibri" w:hAnsi="Calibri" w:cs="Calibri"/>
          <w:sz w:val="22"/>
          <w:szCs w:val="22"/>
        </w:rPr>
        <w:t>élaborer des g</w:t>
      </w:r>
      <w:r w:rsidR="009A1FC5" w:rsidRPr="009A1FC5">
        <w:rPr>
          <w:rFonts w:ascii="Calibri" w:hAnsi="Calibri" w:cs="Calibri"/>
          <w:sz w:val="22"/>
        </w:rPr>
        <w:t>uides de conception des salles de sciences et salles de classe (à l’instar du guide existant pour les installations sportives)</w:t>
      </w:r>
      <w:r>
        <w:rPr>
          <w:rFonts w:ascii="Calibri" w:hAnsi="Calibri" w:cs="Calibri"/>
          <w:sz w:val="22"/>
        </w:rPr>
        <w:t> ; besoin de maintenance des équipements informatiques (pas d’agents dédiés dans certains établissements = système D)</w:t>
      </w:r>
    </w:p>
    <w:p w:rsidR="006E2172" w:rsidRPr="009A1FC5" w:rsidRDefault="006E2172" w:rsidP="008E3D84">
      <w:pPr>
        <w:pStyle w:val="Intgralebase"/>
        <w:numPr>
          <w:ilvl w:val="0"/>
          <w:numId w:val="7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9A1FC5">
        <w:rPr>
          <w:rFonts w:ascii="Calibri" w:hAnsi="Calibri" w:cs="Calibri"/>
          <w:sz w:val="22"/>
          <w:szCs w:val="22"/>
        </w:rPr>
        <w:t>Promouvoir le télétravail</w:t>
      </w:r>
      <w:r w:rsidR="002D70C5">
        <w:rPr>
          <w:rFonts w:ascii="Calibri" w:hAnsi="Calibri" w:cs="Calibri"/>
          <w:sz w:val="22"/>
          <w:szCs w:val="22"/>
        </w:rPr>
        <w:t xml:space="preserve"> (pratiques d’encadrement, considérations matérielles…), </w:t>
      </w:r>
      <w:r w:rsidRPr="009A1FC5">
        <w:rPr>
          <w:rFonts w:ascii="Calibri" w:hAnsi="Calibri" w:cs="Calibri"/>
          <w:sz w:val="22"/>
          <w:szCs w:val="22"/>
        </w:rPr>
        <w:t>r</w:t>
      </w:r>
      <w:r w:rsidR="00CC7895" w:rsidRPr="009A1FC5">
        <w:rPr>
          <w:rFonts w:ascii="Calibri" w:hAnsi="Calibri" w:cs="Calibri"/>
          <w:sz w:val="22"/>
          <w:szCs w:val="22"/>
        </w:rPr>
        <w:t>econnaître</w:t>
      </w:r>
      <w:r w:rsidRPr="009A1FC5">
        <w:rPr>
          <w:rFonts w:ascii="Calibri" w:hAnsi="Calibri" w:cs="Calibri"/>
          <w:sz w:val="22"/>
          <w:szCs w:val="22"/>
        </w:rPr>
        <w:t xml:space="preserve"> le droit à la déconnexion</w:t>
      </w:r>
      <w:r w:rsidR="00085571" w:rsidRPr="009A1FC5">
        <w:rPr>
          <w:rFonts w:ascii="Calibri" w:hAnsi="Calibri" w:cs="Calibri"/>
          <w:sz w:val="22"/>
          <w:szCs w:val="22"/>
        </w:rPr>
        <w:t>, garantir la séparation entre vie privée et vie professionnelle</w:t>
      </w:r>
      <w:r w:rsidRPr="009A1FC5">
        <w:rPr>
          <w:rFonts w:ascii="Calibri" w:hAnsi="Calibri" w:cs="Calibri"/>
          <w:sz w:val="22"/>
          <w:szCs w:val="22"/>
        </w:rPr>
        <w:t>.</w:t>
      </w:r>
    </w:p>
    <w:p w:rsidR="00CC7895" w:rsidRDefault="00CC7895">
      <w:pPr>
        <w:pStyle w:val="Intgralebase"/>
        <w:numPr>
          <w:ilvl w:val="0"/>
          <w:numId w:val="7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Mieux prendre en compte les préconisations du médecin du travail pour les aménagements de postes des personnels souffrant d’un handicap.</w:t>
      </w:r>
    </w:p>
    <w:p w:rsidR="00CC7895" w:rsidRDefault="00CC7895">
      <w:pPr>
        <w:pStyle w:val="Intgralebase"/>
        <w:numPr>
          <w:ilvl w:val="0"/>
          <w:numId w:val="7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Attente pour l’instauration d’une véritable médecine du travail.</w:t>
      </w:r>
    </w:p>
    <w:p w:rsidR="009A1FC5" w:rsidRPr="00950CD3" w:rsidRDefault="008E3D84" w:rsidP="001A3467">
      <w:pPr>
        <w:pStyle w:val="Intgralebase"/>
        <w:numPr>
          <w:ilvl w:val="0"/>
          <w:numId w:val="7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Idé</w:t>
      </w:r>
      <w:r w:rsidR="001A3467">
        <w:rPr>
          <w:rFonts w:ascii="Calibri" w:hAnsi="Calibri" w:cs="Calibri"/>
          <w:sz w:val="22"/>
          <w:szCs w:val="22"/>
        </w:rPr>
        <w:t>e d’un comité national QVT qui pourrait être décliné localement.</w:t>
      </w:r>
    </w:p>
    <w:p w:rsidR="00F063FD" w:rsidRPr="00950CD3" w:rsidRDefault="00F063FD" w:rsidP="008E3D84">
      <w:pPr>
        <w:pStyle w:val="Intgralebase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F063FD" w:rsidRPr="00950CD3" w:rsidRDefault="00F063FD">
      <w:pPr>
        <w:pStyle w:val="Intgralebase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950CD3">
        <w:rPr>
          <w:rFonts w:ascii="Calibri" w:hAnsi="Calibri" w:cs="Calibri"/>
          <w:b/>
          <w:sz w:val="22"/>
          <w:szCs w:val="22"/>
        </w:rPr>
        <w:t>Développement des actions d’accès au logement</w:t>
      </w:r>
    </w:p>
    <w:p w:rsidR="00950CD3" w:rsidRPr="00950CD3" w:rsidRDefault="00950CD3">
      <w:pPr>
        <w:pStyle w:val="Intgralebase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F063FD" w:rsidRDefault="00384F55">
      <w:pPr>
        <w:pStyle w:val="Intgralebase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Efficacité de la mesure ministérielle logement déployée depuis 2017 dans 4 académies saluée par les OS. Il faut élargir </w:t>
      </w:r>
      <w:r w:rsidR="001A3467">
        <w:rPr>
          <w:rFonts w:ascii="Calibri" w:hAnsi="Calibri" w:cs="Calibri"/>
          <w:sz w:val="22"/>
          <w:szCs w:val="22"/>
        </w:rPr>
        <w:t>le périmètre d</w:t>
      </w:r>
      <w:r>
        <w:rPr>
          <w:rFonts w:ascii="Calibri" w:hAnsi="Calibri" w:cs="Calibri"/>
          <w:sz w:val="22"/>
          <w:szCs w:val="22"/>
        </w:rPr>
        <w:t xml:space="preserve">es académies et territoires concernés </w:t>
      </w:r>
      <w:r w:rsidR="001A3467">
        <w:rPr>
          <w:rFonts w:ascii="Calibri" w:hAnsi="Calibri" w:cs="Calibri"/>
          <w:sz w:val="22"/>
          <w:szCs w:val="22"/>
        </w:rPr>
        <w:t>notamment s’agissant de territoires frontaliers (</w:t>
      </w:r>
      <w:r>
        <w:rPr>
          <w:rFonts w:ascii="Calibri" w:hAnsi="Calibri" w:cs="Calibri"/>
          <w:sz w:val="22"/>
          <w:szCs w:val="22"/>
        </w:rPr>
        <w:t>Haute-Savoie, Pays de Gex</w:t>
      </w:r>
      <w:r w:rsidR="001A3467">
        <w:rPr>
          <w:rFonts w:ascii="Calibri" w:hAnsi="Calibri" w:cs="Calibri"/>
          <w:sz w:val="22"/>
          <w:szCs w:val="22"/>
        </w:rPr>
        <w:t xml:space="preserve">… </w:t>
      </w:r>
      <w:r>
        <w:rPr>
          <w:rFonts w:ascii="Calibri" w:hAnsi="Calibri" w:cs="Calibri"/>
          <w:sz w:val="22"/>
          <w:szCs w:val="22"/>
        </w:rPr>
        <w:t>) et élargir les bénéficiaires (personnels contractuels dont AED/AESH</w:t>
      </w:r>
      <w:r w:rsidR="008E3D84">
        <w:rPr>
          <w:rFonts w:ascii="Calibri" w:hAnsi="Calibri" w:cs="Calibri"/>
          <w:sz w:val="22"/>
          <w:szCs w:val="22"/>
        </w:rPr>
        <w:t xml:space="preserve"> sans attendre cinq ans d’ancienneté</w:t>
      </w:r>
      <w:r>
        <w:rPr>
          <w:rFonts w:ascii="Calibri" w:hAnsi="Calibri" w:cs="Calibri"/>
          <w:sz w:val="22"/>
          <w:szCs w:val="22"/>
        </w:rPr>
        <w:t>, de catégorie B et C et situation d’urgence sociale).</w:t>
      </w:r>
    </w:p>
    <w:p w:rsidR="00384F55" w:rsidRDefault="00384F55">
      <w:pPr>
        <w:pStyle w:val="Intgralebase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Possibilité de bénéficier des logements vacants en EPLE.</w:t>
      </w:r>
    </w:p>
    <w:p w:rsidR="00384F55" w:rsidRDefault="00384F55">
      <w:pPr>
        <w:pStyle w:val="Intgralebase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Pour la caution, examiner un élargissement du dispositif Visale en lien avec le groupe Action logement.</w:t>
      </w:r>
    </w:p>
    <w:p w:rsidR="008E3D84" w:rsidRPr="00950CD3" w:rsidRDefault="008E3D84">
      <w:pPr>
        <w:pStyle w:val="Intgralebase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Développer le logement temporaire ou d’urgence</w:t>
      </w:r>
    </w:p>
    <w:p w:rsidR="00F063FD" w:rsidRPr="00950CD3" w:rsidRDefault="00F063FD">
      <w:pPr>
        <w:pStyle w:val="Intgralebase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F063FD" w:rsidRDefault="00F063FD">
      <w:pPr>
        <w:pStyle w:val="Intgralebase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950CD3">
        <w:rPr>
          <w:rFonts w:ascii="Calibri" w:hAnsi="Calibri" w:cs="Calibri"/>
          <w:b/>
          <w:sz w:val="22"/>
          <w:szCs w:val="22"/>
        </w:rPr>
        <w:t>Développement des actions en faveur de la parentalité</w:t>
      </w:r>
    </w:p>
    <w:p w:rsidR="00185849" w:rsidRDefault="00185849">
      <w:pPr>
        <w:pStyle w:val="Intgralebase"/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85849" w:rsidRDefault="00F71188">
      <w:pPr>
        <w:pStyle w:val="Intgralebase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AB1A43">
        <w:rPr>
          <w:rFonts w:ascii="Calibri" w:hAnsi="Calibri" w:cs="Calibri"/>
          <w:sz w:val="22"/>
          <w:szCs w:val="22"/>
        </w:rPr>
        <w:t>Constat partagé : les aides à la parentalité constituent un vecteur de conciliation de la vie profession</w:t>
      </w:r>
      <w:r w:rsidR="00AB1A43">
        <w:rPr>
          <w:rFonts w:ascii="Calibri" w:hAnsi="Calibri" w:cs="Calibri"/>
          <w:sz w:val="22"/>
          <w:szCs w:val="22"/>
        </w:rPr>
        <w:t>nelle et personnelle et participent à l’amélioration des conditions de travail.</w:t>
      </w:r>
    </w:p>
    <w:p w:rsidR="00F063FD" w:rsidRDefault="00AB1A43">
      <w:pPr>
        <w:pStyle w:val="Intgralebase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Les OS se félicitent de l’extension du CESU garde d’enfants 6-12 ans fonction publique pour les AED/AESH recrutés </w:t>
      </w:r>
      <w:r w:rsidR="009329D4">
        <w:rPr>
          <w:rFonts w:ascii="Calibri" w:hAnsi="Calibri" w:cs="Calibri"/>
          <w:sz w:val="22"/>
          <w:szCs w:val="22"/>
        </w:rPr>
        <w:t>et rémunérés par les EPLE</w:t>
      </w:r>
      <w:r>
        <w:rPr>
          <w:rFonts w:ascii="Calibri" w:hAnsi="Calibri" w:cs="Calibri"/>
          <w:sz w:val="22"/>
          <w:szCs w:val="22"/>
        </w:rPr>
        <w:t>.</w:t>
      </w:r>
    </w:p>
    <w:p w:rsidR="00AB1A43" w:rsidRDefault="00BE56DC">
      <w:pPr>
        <w:pStyle w:val="Intgralebase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Forte attente</w:t>
      </w:r>
      <w:r w:rsidR="00AB1A43">
        <w:rPr>
          <w:rFonts w:ascii="Calibri" w:hAnsi="Calibri" w:cs="Calibri"/>
          <w:sz w:val="22"/>
          <w:szCs w:val="22"/>
        </w:rPr>
        <w:t xml:space="preserve"> pour la création d’une prestation nationale dédiée à l’enfance telle que déjà évoquée dans le cadre des travaux de l’agenda social ministériel.</w:t>
      </w:r>
    </w:p>
    <w:p w:rsidR="00AB1A43" w:rsidRDefault="00AB1A43">
      <w:pPr>
        <w:pStyle w:val="Intgralebase"/>
        <w:spacing w:line="240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Plusieurs </w:t>
      </w:r>
      <w:r w:rsidR="009329D4">
        <w:rPr>
          <w:rFonts w:ascii="Calibri" w:hAnsi="Calibri" w:cs="Calibri"/>
          <w:sz w:val="22"/>
          <w:szCs w:val="22"/>
        </w:rPr>
        <w:t>pistes sont envisageables</w:t>
      </w:r>
      <w:r>
        <w:rPr>
          <w:rFonts w:ascii="Calibri" w:hAnsi="Calibri" w:cs="Calibri"/>
          <w:sz w:val="22"/>
          <w:szCs w:val="22"/>
        </w:rPr>
        <w:t> : élargir le public du CESU garde d’enfants fonction publique 0-6 ans, créer une prestation nationale CESU 6-12 ans et/ou une aide aux études (permet d’harmoniser les prestations existantes en académies).</w:t>
      </w:r>
    </w:p>
    <w:p w:rsidR="00BE56DC" w:rsidRDefault="00BE56DC">
      <w:pPr>
        <w:pStyle w:val="Intgralebase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Promouvoir le dispositif interministériel de places en crèches (parc actuellement augmentation) auprès des personnels, recueillir les beso</w:t>
      </w:r>
      <w:r w:rsidR="009329D4">
        <w:rPr>
          <w:rFonts w:ascii="Calibri" w:hAnsi="Calibri" w:cs="Calibri"/>
          <w:sz w:val="22"/>
          <w:szCs w:val="22"/>
        </w:rPr>
        <w:t>ins des personnels en la matière</w:t>
      </w:r>
      <w:r w:rsidR="00384F55">
        <w:rPr>
          <w:rFonts w:ascii="Calibri" w:hAnsi="Calibri" w:cs="Calibri"/>
          <w:sz w:val="22"/>
          <w:szCs w:val="22"/>
        </w:rPr>
        <w:t>.</w:t>
      </w:r>
    </w:p>
    <w:p w:rsidR="00BE56DC" w:rsidRDefault="00BE56DC">
      <w:pPr>
        <w:pStyle w:val="Intgralebase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Revaloriser le quotient familial pour les prestations d’action sociale</w:t>
      </w:r>
      <w:r w:rsidR="008E3D84">
        <w:rPr>
          <w:rFonts w:ascii="Calibri" w:hAnsi="Calibri" w:cs="Calibri"/>
          <w:sz w:val="22"/>
          <w:szCs w:val="22"/>
        </w:rPr>
        <w:t>, en sorte de n’écarter personne ou seulement l’encadrement supérieur</w:t>
      </w:r>
      <w:r w:rsidR="009329D4">
        <w:rPr>
          <w:rFonts w:ascii="Calibri" w:hAnsi="Calibri" w:cs="Calibri"/>
          <w:sz w:val="22"/>
          <w:szCs w:val="22"/>
        </w:rPr>
        <w:t xml:space="preserve">. </w:t>
      </w:r>
    </w:p>
    <w:p w:rsidR="00185849" w:rsidRDefault="00185849">
      <w:pPr>
        <w:pStyle w:val="Intgralebase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F063FD" w:rsidRPr="00950CD3" w:rsidRDefault="00F063FD">
      <w:pPr>
        <w:pStyle w:val="Intgralebase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950CD3">
        <w:rPr>
          <w:rFonts w:ascii="Calibri" w:hAnsi="Calibri" w:cs="Calibri"/>
          <w:b/>
          <w:sz w:val="22"/>
          <w:szCs w:val="22"/>
        </w:rPr>
        <w:t>La protection sociale complémentaire</w:t>
      </w:r>
    </w:p>
    <w:p w:rsidR="00F063FD" w:rsidRDefault="00F063FD">
      <w:pPr>
        <w:pStyle w:val="Intgralebase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185849" w:rsidRDefault="00185849">
      <w:pPr>
        <w:pStyle w:val="Intgralebase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Les OS sollicitent une augmentation importante du financement du MENJS voire une prise en charge individuelle par l’employeur à hauteur de 50% des cotisations de l’adhérent.</w:t>
      </w:r>
    </w:p>
    <w:p w:rsidR="00185849" w:rsidRDefault="00185849">
      <w:pPr>
        <w:pStyle w:val="Intgralebase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Demande de prise en compte du risque dépendance en complément de la prévoyance et de la santé.</w:t>
      </w:r>
    </w:p>
    <w:p w:rsidR="00185849" w:rsidRDefault="00185849">
      <w:pPr>
        <w:pStyle w:val="Intgralebase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Les personnels doivent rester libres d’adhérer à </w:t>
      </w:r>
      <w:r w:rsidR="00BE56DC">
        <w:rPr>
          <w:rFonts w:ascii="Calibri" w:hAnsi="Calibri" w:cs="Calibri"/>
          <w:sz w:val="22"/>
          <w:szCs w:val="22"/>
        </w:rPr>
        <w:t>la mutuelle</w:t>
      </w:r>
      <w:r>
        <w:rPr>
          <w:rFonts w:ascii="Calibri" w:hAnsi="Calibri" w:cs="Calibri"/>
          <w:sz w:val="22"/>
          <w:szCs w:val="22"/>
        </w:rPr>
        <w:t xml:space="preserve"> de leur choix.</w:t>
      </w:r>
    </w:p>
    <w:p w:rsidR="00185849" w:rsidRPr="00950CD3" w:rsidRDefault="00185849">
      <w:pPr>
        <w:pStyle w:val="Intgralebase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F063FD" w:rsidRPr="00EC76F3" w:rsidRDefault="00F063FD" w:rsidP="00EC76F3">
      <w:pPr>
        <w:pStyle w:val="Paragraphedeliste"/>
        <w:widowControl/>
        <w:numPr>
          <w:ilvl w:val="0"/>
          <w:numId w:val="1"/>
        </w:numPr>
        <w:autoSpaceDE/>
        <w:autoSpaceDN/>
        <w:spacing w:after="200" w:line="276" w:lineRule="auto"/>
        <w:rPr>
          <w:rFonts w:ascii="Calibri" w:eastAsia="Times" w:hAnsi="Calibri" w:cs="Calibri"/>
          <w:b/>
          <w:lang w:val="fr-FR" w:eastAsia="fr-FR"/>
        </w:rPr>
      </w:pPr>
      <w:r w:rsidRPr="00782030">
        <w:rPr>
          <w:rFonts w:ascii="Calibri" w:hAnsi="Calibri" w:cs="Calibri"/>
          <w:b/>
          <w:lang w:val="fr-FR"/>
        </w:rPr>
        <w:t>Développement d’autres prestations : culturelles, loisirs, autres….</w:t>
      </w:r>
    </w:p>
    <w:p w:rsidR="00185849" w:rsidRDefault="00185849">
      <w:pPr>
        <w:pStyle w:val="Intgralebase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8702A2" w:rsidRDefault="008702A2">
      <w:pPr>
        <w:pStyle w:val="Intgralebase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8702A2">
        <w:rPr>
          <w:rFonts w:ascii="Calibri" w:hAnsi="Calibri" w:cs="Calibri"/>
          <w:sz w:val="22"/>
          <w:szCs w:val="22"/>
        </w:rPr>
        <w:t xml:space="preserve">Forte attente des OS sur </w:t>
      </w:r>
      <w:r>
        <w:rPr>
          <w:rFonts w:ascii="Calibri" w:hAnsi="Calibri" w:cs="Calibri"/>
          <w:sz w:val="22"/>
          <w:szCs w:val="22"/>
        </w:rPr>
        <w:t>l’extension du Pass Education à tous les personnels (sujet évoqué dans les précédents travaux de l’agenda social ministériel).</w:t>
      </w:r>
    </w:p>
    <w:p w:rsidR="008702A2" w:rsidRPr="008702A2" w:rsidRDefault="008702A2">
      <w:pPr>
        <w:pStyle w:val="Intgralebase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F063FD" w:rsidRDefault="00F063FD">
      <w:pPr>
        <w:pStyle w:val="Intgralebase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950CD3">
        <w:rPr>
          <w:rFonts w:ascii="Calibri" w:hAnsi="Calibri" w:cs="Calibri"/>
          <w:b/>
          <w:sz w:val="22"/>
          <w:szCs w:val="22"/>
        </w:rPr>
        <w:t>Communication sur les politiques et prestations (interministérielles et ministérielles) d’action sociale</w:t>
      </w:r>
    </w:p>
    <w:p w:rsidR="00185849" w:rsidRDefault="00185849">
      <w:pPr>
        <w:pStyle w:val="Intgralebase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41750E" w:rsidRDefault="0041750E">
      <w:pPr>
        <w:pStyle w:val="Intgralebase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Pr="0041750E">
        <w:rPr>
          <w:rFonts w:ascii="Calibri" w:hAnsi="Calibri" w:cs="Calibri"/>
          <w:sz w:val="22"/>
          <w:szCs w:val="22"/>
        </w:rPr>
        <w:t xml:space="preserve">njeu majeur de l’action sociale, sujet </w:t>
      </w:r>
      <w:r>
        <w:rPr>
          <w:rFonts w:ascii="Calibri" w:hAnsi="Calibri" w:cs="Calibri"/>
          <w:sz w:val="22"/>
          <w:szCs w:val="22"/>
        </w:rPr>
        <w:t>ré</w:t>
      </w:r>
      <w:r w:rsidRPr="0041750E">
        <w:rPr>
          <w:rFonts w:ascii="Calibri" w:hAnsi="Calibri" w:cs="Calibri"/>
          <w:sz w:val="22"/>
          <w:szCs w:val="22"/>
        </w:rPr>
        <w:t xml:space="preserve">current dans </w:t>
      </w:r>
      <w:r>
        <w:rPr>
          <w:rFonts w:ascii="Calibri" w:hAnsi="Calibri" w:cs="Calibri"/>
          <w:sz w:val="22"/>
          <w:szCs w:val="22"/>
        </w:rPr>
        <w:t xml:space="preserve">toutes </w:t>
      </w:r>
      <w:r w:rsidRPr="0041750E">
        <w:rPr>
          <w:rFonts w:ascii="Calibri" w:hAnsi="Calibri" w:cs="Calibri"/>
          <w:sz w:val="22"/>
          <w:szCs w:val="22"/>
        </w:rPr>
        <w:t xml:space="preserve">les instances </w:t>
      </w:r>
      <w:r>
        <w:rPr>
          <w:rFonts w:ascii="Calibri" w:hAnsi="Calibri" w:cs="Calibri"/>
          <w:sz w:val="22"/>
          <w:szCs w:val="22"/>
        </w:rPr>
        <w:t>de dialogue social d’action sociale</w:t>
      </w:r>
      <w:r w:rsidRPr="0041750E">
        <w:rPr>
          <w:rFonts w:ascii="Calibri" w:hAnsi="Calibri" w:cs="Calibri"/>
          <w:sz w:val="22"/>
          <w:szCs w:val="22"/>
        </w:rPr>
        <w:t xml:space="preserve">, </w:t>
      </w:r>
      <w:r w:rsidR="00BE56DC">
        <w:rPr>
          <w:rFonts w:ascii="Calibri" w:hAnsi="Calibri" w:cs="Calibri"/>
          <w:sz w:val="22"/>
          <w:szCs w:val="22"/>
        </w:rPr>
        <w:t xml:space="preserve">qui </w:t>
      </w:r>
      <w:r w:rsidRPr="0041750E">
        <w:rPr>
          <w:rFonts w:ascii="Calibri" w:hAnsi="Calibri" w:cs="Calibri"/>
          <w:sz w:val="22"/>
          <w:szCs w:val="22"/>
        </w:rPr>
        <w:t xml:space="preserve">nécessite </w:t>
      </w:r>
      <w:r w:rsidR="00BE56DC">
        <w:rPr>
          <w:rFonts w:ascii="Calibri" w:hAnsi="Calibri" w:cs="Calibri"/>
          <w:sz w:val="22"/>
          <w:szCs w:val="22"/>
        </w:rPr>
        <w:t>une attention particulière</w:t>
      </w:r>
      <w:r w:rsidR="008702A2">
        <w:rPr>
          <w:rFonts w:ascii="Calibri" w:hAnsi="Calibri" w:cs="Calibri"/>
          <w:sz w:val="22"/>
          <w:szCs w:val="22"/>
        </w:rPr>
        <w:t>.</w:t>
      </w:r>
    </w:p>
    <w:p w:rsidR="00F71188" w:rsidRDefault="00F71188">
      <w:pPr>
        <w:pStyle w:val="Intgralebase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Sujet de l’accès à l’information pour les nouveaux entrants ou pour certaines catégories de personnels (AED/AESH).</w:t>
      </w:r>
    </w:p>
    <w:p w:rsidR="00D474E7" w:rsidRPr="00EC76F3" w:rsidRDefault="008702A2" w:rsidP="00EC76F3">
      <w:pPr>
        <w:pStyle w:val="Intgralebase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Intérêt à distinguer l’information aux personnels (service d’action sociale) de l’accompagnement des personnels (rôle du service social du personnel).</w:t>
      </w:r>
    </w:p>
    <w:p w:rsidR="00D474E7" w:rsidRPr="0041750E" w:rsidRDefault="00D474E7">
      <w:pPr>
        <w:pStyle w:val="Intgralebase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F063FD" w:rsidRPr="00950CD3" w:rsidRDefault="00F063FD">
      <w:pPr>
        <w:pStyle w:val="Intgralebase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950CD3">
        <w:rPr>
          <w:rFonts w:ascii="Calibri" w:hAnsi="Calibri" w:cs="Calibri"/>
          <w:b/>
          <w:sz w:val="22"/>
          <w:szCs w:val="22"/>
        </w:rPr>
        <w:t>Opérateur(s) envisageable(s) pour l’action sociale ministérielle</w:t>
      </w:r>
    </w:p>
    <w:p w:rsidR="00185849" w:rsidRDefault="00185849">
      <w:pPr>
        <w:pStyle w:val="Intgralebase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0E10B2" w:rsidRDefault="000E10B2">
      <w:pPr>
        <w:pStyle w:val="Intgralebase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 pas favorables au recours à un opérateur </w:t>
      </w:r>
      <w:r w:rsidR="0041750E">
        <w:rPr>
          <w:rFonts w:ascii="Calibri" w:hAnsi="Calibri" w:cs="Calibri"/>
          <w:sz w:val="22"/>
          <w:szCs w:val="22"/>
        </w:rPr>
        <w:t>public de type fondation</w:t>
      </w:r>
      <w:r w:rsidR="00BE56DC">
        <w:rPr>
          <w:rFonts w:ascii="Calibri" w:hAnsi="Calibri" w:cs="Calibri"/>
          <w:sz w:val="22"/>
          <w:szCs w:val="22"/>
        </w:rPr>
        <w:t> :</w:t>
      </w:r>
      <w:r w:rsidR="0041750E">
        <w:rPr>
          <w:rFonts w:ascii="Calibri" w:hAnsi="Calibri" w:cs="Calibri"/>
          <w:sz w:val="22"/>
          <w:szCs w:val="22"/>
        </w:rPr>
        <w:t xml:space="preserve"> l’organisation actuelle de l’action sociale du MENJS et la faiblesse des moyens budgétaires consacrés ne justifient pas le recours à un opérateur.</w:t>
      </w:r>
    </w:p>
    <w:p w:rsidR="0041750E" w:rsidRPr="00950CD3" w:rsidRDefault="008702A2">
      <w:pPr>
        <w:pStyle w:val="Intgralebase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Quelques r</w:t>
      </w:r>
      <w:r w:rsidR="0041750E">
        <w:rPr>
          <w:rFonts w:ascii="Calibri" w:hAnsi="Calibri" w:cs="Calibri"/>
          <w:sz w:val="22"/>
          <w:szCs w:val="22"/>
        </w:rPr>
        <w:t>éserve</w:t>
      </w:r>
      <w:r>
        <w:rPr>
          <w:rFonts w:ascii="Calibri" w:hAnsi="Calibri" w:cs="Calibri"/>
          <w:sz w:val="22"/>
          <w:szCs w:val="22"/>
        </w:rPr>
        <w:t>s</w:t>
      </w:r>
      <w:r w:rsidR="0041750E">
        <w:rPr>
          <w:rFonts w:ascii="Calibri" w:hAnsi="Calibri" w:cs="Calibri"/>
          <w:sz w:val="22"/>
          <w:szCs w:val="22"/>
        </w:rPr>
        <w:t xml:space="preserve"> sur les associations de personnels type Comité des œuvres sociales</w:t>
      </w:r>
      <w:r>
        <w:rPr>
          <w:rFonts w:ascii="Calibri" w:hAnsi="Calibri" w:cs="Calibri"/>
          <w:sz w:val="22"/>
          <w:szCs w:val="22"/>
        </w:rPr>
        <w:t xml:space="preserve"> (association de type CE : offre de </w:t>
      </w:r>
      <w:r w:rsidR="008E3D84">
        <w:rPr>
          <w:rFonts w:ascii="Calibri" w:hAnsi="Calibri" w:cs="Calibri"/>
          <w:sz w:val="22"/>
          <w:szCs w:val="22"/>
        </w:rPr>
        <w:t>billetterie</w:t>
      </w:r>
      <w:r>
        <w:rPr>
          <w:rFonts w:ascii="Calibri" w:hAnsi="Calibri" w:cs="Calibri"/>
          <w:sz w:val="22"/>
          <w:szCs w:val="22"/>
        </w:rPr>
        <w:t>, actions culturelles et de loisirs, remises dans les grandes enseignes d’habillement, matériel de sports)</w:t>
      </w:r>
      <w:r w:rsidR="0041750E">
        <w:rPr>
          <w:rFonts w:ascii="Calibri" w:hAnsi="Calibri" w:cs="Calibri"/>
          <w:sz w:val="22"/>
          <w:szCs w:val="22"/>
        </w:rPr>
        <w:t> ; les SRIAS au niveau interministériel déployant des offres pour partie semblables.</w:t>
      </w:r>
      <w:r w:rsidR="009329D4">
        <w:rPr>
          <w:rFonts w:ascii="Calibri" w:hAnsi="Calibri" w:cs="Calibri"/>
          <w:sz w:val="22"/>
          <w:szCs w:val="22"/>
        </w:rPr>
        <w:t xml:space="preserve"> Pour autant, certains font le constat que ces associations comblent un manque. </w:t>
      </w:r>
    </w:p>
    <w:sectPr w:rsidR="0041750E" w:rsidRPr="00950C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AA5" w:rsidRDefault="003D1AA5" w:rsidP="000678EC">
      <w:r>
        <w:separator/>
      </w:r>
    </w:p>
  </w:endnote>
  <w:endnote w:type="continuationSeparator" w:id="0">
    <w:p w:rsidR="003D1AA5" w:rsidRDefault="003D1AA5" w:rsidP="0006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467" w:rsidRDefault="001A34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1170167"/>
      <w:docPartObj>
        <w:docPartGallery w:val="Page Numbers (Bottom of Page)"/>
        <w:docPartUnique/>
      </w:docPartObj>
    </w:sdtPr>
    <w:sdtEndPr/>
    <w:sdtContent>
      <w:p w:rsidR="007065C1" w:rsidRDefault="007065C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CFF" w:rsidRPr="00292CFF">
          <w:rPr>
            <w:noProof/>
            <w:lang w:val="fr-FR"/>
          </w:rPr>
          <w:t>1</w:t>
        </w:r>
        <w:r>
          <w:fldChar w:fldCharType="end"/>
        </w:r>
      </w:p>
    </w:sdtContent>
  </w:sdt>
  <w:p w:rsidR="007065C1" w:rsidRDefault="007065C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467" w:rsidRDefault="001A34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AA5" w:rsidRDefault="003D1AA5" w:rsidP="000678EC">
      <w:r>
        <w:separator/>
      </w:r>
    </w:p>
  </w:footnote>
  <w:footnote w:type="continuationSeparator" w:id="0">
    <w:p w:rsidR="003D1AA5" w:rsidRDefault="003D1AA5" w:rsidP="00067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467" w:rsidRDefault="003D1AA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973407" o:spid="_x0000_s2050" type="#_x0000_t136" style="position:absolute;margin-left:0;margin-top:0;width:583.85pt;height:55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8EC" w:rsidRDefault="003D1AA5" w:rsidP="00E4298F">
    <w:pPr>
      <w:pStyle w:val="En-tte"/>
      <w:jc w:val="right"/>
      <w:rPr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973408" o:spid="_x0000_s2051" type="#_x0000_t136" style="position:absolute;left:0;text-align:left;margin-left:0;margin-top:0;width:583.85pt;height:55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 DE TRAVAIL"/>
          <w10:wrap anchorx="margin" anchory="margin"/>
        </v:shape>
      </w:pict>
    </w:r>
    <w:r w:rsidR="000678EC" w:rsidRPr="000678EC">
      <w:rPr>
        <w:sz w:val="20"/>
        <w:szCs w:val="20"/>
      </w:rPr>
      <w:t>DGRH C1-3</w:t>
    </w:r>
    <w:r w:rsidR="00E4298F">
      <w:rPr>
        <w:sz w:val="20"/>
        <w:szCs w:val="20"/>
      </w:rPr>
      <w:t>/</w:t>
    </w:r>
    <w:r w:rsidR="000678EC" w:rsidRPr="000678EC">
      <w:rPr>
        <w:sz w:val="20"/>
        <w:szCs w:val="20"/>
      </w:rPr>
      <w:t>MLMG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467" w:rsidRDefault="003D1AA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973406" o:spid="_x0000_s2049" type="#_x0000_t136" style="position:absolute;margin-left:0;margin-top:0;width:583.85pt;height:55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337C1"/>
    <w:multiLevelType w:val="hybridMultilevel"/>
    <w:tmpl w:val="45FEAC12"/>
    <w:lvl w:ilvl="0" w:tplc="CF101202">
      <w:start w:val="6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6530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FDA7CFD"/>
    <w:multiLevelType w:val="hybridMultilevel"/>
    <w:tmpl w:val="A61AE4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B83FBB"/>
    <w:multiLevelType w:val="hybridMultilevel"/>
    <w:tmpl w:val="42B47526"/>
    <w:lvl w:ilvl="0" w:tplc="6B482170">
      <w:start w:val="6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C47ED"/>
    <w:multiLevelType w:val="hybridMultilevel"/>
    <w:tmpl w:val="3E3E4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E380F"/>
    <w:multiLevelType w:val="hybridMultilevel"/>
    <w:tmpl w:val="36B2AD56"/>
    <w:lvl w:ilvl="0" w:tplc="7D20C452">
      <w:start w:val="6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54DE3"/>
    <w:multiLevelType w:val="hybridMultilevel"/>
    <w:tmpl w:val="26061C7C"/>
    <w:lvl w:ilvl="0" w:tplc="95B600FC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A9"/>
    <w:rsid w:val="0003624A"/>
    <w:rsid w:val="000678EC"/>
    <w:rsid w:val="00085571"/>
    <w:rsid w:val="00093712"/>
    <w:rsid w:val="000D412D"/>
    <w:rsid w:val="000E10B2"/>
    <w:rsid w:val="00100717"/>
    <w:rsid w:val="001014A2"/>
    <w:rsid w:val="001337DF"/>
    <w:rsid w:val="00185849"/>
    <w:rsid w:val="001A3467"/>
    <w:rsid w:val="001B6D5F"/>
    <w:rsid w:val="00216CA3"/>
    <w:rsid w:val="00227F3D"/>
    <w:rsid w:val="002304F2"/>
    <w:rsid w:val="00292CFF"/>
    <w:rsid w:val="002D70C5"/>
    <w:rsid w:val="00384C77"/>
    <w:rsid w:val="00384F55"/>
    <w:rsid w:val="003C3341"/>
    <w:rsid w:val="003D1AA5"/>
    <w:rsid w:val="003E7EE5"/>
    <w:rsid w:val="003F0D2D"/>
    <w:rsid w:val="003F7967"/>
    <w:rsid w:val="0041750E"/>
    <w:rsid w:val="004630F2"/>
    <w:rsid w:val="00466568"/>
    <w:rsid w:val="004672BB"/>
    <w:rsid w:val="004B0697"/>
    <w:rsid w:val="004F1CE7"/>
    <w:rsid w:val="005A047D"/>
    <w:rsid w:val="005B1861"/>
    <w:rsid w:val="005F22B4"/>
    <w:rsid w:val="00613940"/>
    <w:rsid w:val="00627904"/>
    <w:rsid w:val="00683462"/>
    <w:rsid w:val="006B4177"/>
    <w:rsid w:val="006B7D9B"/>
    <w:rsid w:val="006D149F"/>
    <w:rsid w:val="006E2172"/>
    <w:rsid w:val="007065C1"/>
    <w:rsid w:val="00753277"/>
    <w:rsid w:val="007651CB"/>
    <w:rsid w:val="00782030"/>
    <w:rsid w:val="00785526"/>
    <w:rsid w:val="00803FF3"/>
    <w:rsid w:val="00804915"/>
    <w:rsid w:val="00812CBD"/>
    <w:rsid w:val="0085615E"/>
    <w:rsid w:val="008575C3"/>
    <w:rsid w:val="00865B8A"/>
    <w:rsid w:val="008702A2"/>
    <w:rsid w:val="008A0BC6"/>
    <w:rsid w:val="008E3D84"/>
    <w:rsid w:val="009329D4"/>
    <w:rsid w:val="00950CD3"/>
    <w:rsid w:val="009A1FC5"/>
    <w:rsid w:val="009D195B"/>
    <w:rsid w:val="00A01919"/>
    <w:rsid w:val="00A0211A"/>
    <w:rsid w:val="00A024D5"/>
    <w:rsid w:val="00A21711"/>
    <w:rsid w:val="00A23BAA"/>
    <w:rsid w:val="00A6364A"/>
    <w:rsid w:val="00A6600C"/>
    <w:rsid w:val="00A86666"/>
    <w:rsid w:val="00AB1A43"/>
    <w:rsid w:val="00AC7F84"/>
    <w:rsid w:val="00AD5952"/>
    <w:rsid w:val="00AE61A9"/>
    <w:rsid w:val="00B0513D"/>
    <w:rsid w:val="00B20BFB"/>
    <w:rsid w:val="00BA7744"/>
    <w:rsid w:val="00BE56DC"/>
    <w:rsid w:val="00C24244"/>
    <w:rsid w:val="00C40847"/>
    <w:rsid w:val="00C7240C"/>
    <w:rsid w:val="00CC7895"/>
    <w:rsid w:val="00D474E7"/>
    <w:rsid w:val="00D51DE1"/>
    <w:rsid w:val="00D74794"/>
    <w:rsid w:val="00D7506B"/>
    <w:rsid w:val="00D84572"/>
    <w:rsid w:val="00D847A1"/>
    <w:rsid w:val="00E054C3"/>
    <w:rsid w:val="00E1322A"/>
    <w:rsid w:val="00E4298F"/>
    <w:rsid w:val="00EA4843"/>
    <w:rsid w:val="00EA4E22"/>
    <w:rsid w:val="00EC76F3"/>
    <w:rsid w:val="00ED5B70"/>
    <w:rsid w:val="00F063FD"/>
    <w:rsid w:val="00F10BAF"/>
    <w:rsid w:val="00F61148"/>
    <w:rsid w:val="00F71188"/>
    <w:rsid w:val="00F77D16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EC8098"/>
  <w15:docId w15:val="{41ACFC8F-8184-4A09-B440-50C99F77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AF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Titre5">
    <w:name w:val="heading 5"/>
    <w:basedOn w:val="Normal"/>
    <w:link w:val="Titre5Car"/>
    <w:uiPriority w:val="9"/>
    <w:qFormat/>
    <w:rsid w:val="00A01919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F10BAF"/>
    <w:pPr>
      <w:spacing w:line="276" w:lineRule="auto"/>
    </w:pPr>
    <w:rPr>
      <w:sz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F10BAF"/>
    <w:rPr>
      <w:rFonts w:ascii="Arial" w:hAnsi="Arial" w:cs="Arial"/>
      <w:sz w:val="20"/>
    </w:rPr>
  </w:style>
  <w:style w:type="paragraph" w:customStyle="1" w:styleId="Intgralebase">
    <w:name w:val="Intégrale_base"/>
    <w:rsid w:val="00F10BAF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678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78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78EC"/>
    <w:rPr>
      <w:rFonts w:ascii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678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78EC"/>
    <w:rPr>
      <w:rFonts w:ascii="Arial" w:hAnsi="Arial" w:cs="Arial"/>
      <w:lang w:val="en-US"/>
    </w:rPr>
  </w:style>
  <w:style w:type="character" w:styleId="lev">
    <w:name w:val="Strong"/>
    <w:basedOn w:val="Policepardfaut"/>
    <w:uiPriority w:val="22"/>
    <w:qFormat/>
    <w:rsid w:val="000678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65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lang-en">
    <w:name w:val="lang-en"/>
    <w:basedOn w:val="Policepardfaut"/>
    <w:rsid w:val="00466568"/>
  </w:style>
  <w:style w:type="character" w:styleId="Lienhypertexte">
    <w:name w:val="Hyperlink"/>
    <w:basedOn w:val="Policepardfaut"/>
    <w:uiPriority w:val="99"/>
    <w:semiHidden/>
    <w:unhideWhenUsed/>
    <w:rsid w:val="0046656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24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40C"/>
    <w:rPr>
      <w:rFonts w:ascii="Segoe UI" w:hAnsi="Segoe UI" w:cs="Segoe UI"/>
      <w:sz w:val="18"/>
      <w:szCs w:val="18"/>
      <w:lang w:val="en-US"/>
    </w:rPr>
  </w:style>
  <w:style w:type="character" w:customStyle="1" w:styleId="Titre5Car">
    <w:name w:val="Titre 5 Car"/>
    <w:basedOn w:val="Policepardfaut"/>
    <w:link w:val="Titre5"/>
    <w:uiPriority w:val="9"/>
    <w:rsid w:val="00A01919"/>
    <w:rPr>
      <w:rFonts w:eastAsia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5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0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782F1-E43F-4A98-99C5-01A67923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1172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Académie de Grenoble</cp:lastModifiedBy>
  <cp:revision>2</cp:revision>
  <cp:lastPrinted>2020-11-17T09:08:00Z</cp:lastPrinted>
  <dcterms:created xsi:type="dcterms:W3CDTF">2020-12-02T10:42:00Z</dcterms:created>
  <dcterms:modified xsi:type="dcterms:W3CDTF">2020-12-02T10:42:00Z</dcterms:modified>
</cp:coreProperties>
</file>